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sz w:val="44"/>
          <w:szCs w:val="44"/>
        </w:rPr>
      </w:pPr>
      <w:r>
        <w:rPr>
          <w:rFonts w:hint="eastAsia" w:ascii="黑体" w:hAnsi="黑体" w:eastAsia="黑体"/>
          <w:b/>
          <w:sz w:val="32"/>
          <w:szCs w:val="32"/>
        </w:rPr>
        <w:t>202</w:t>
      </w:r>
      <w:r>
        <w:rPr>
          <w:rFonts w:hint="default" w:ascii="黑体" w:hAnsi="黑体" w:eastAsia="黑体"/>
          <w:b/>
          <w:sz w:val="32"/>
          <w:szCs w:val="32"/>
        </w:rPr>
        <w:t>1</w:t>
      </w:r>
      <w:r>
        <w:rPr>
          <w:rFonts w:hint="eastAsia" w:ascii="黑体" w:hAnsi="黑体" w:eastAsia="黑体"/>
          <w:b/>
          <w:sz w:val="32"/>
          <w:szCs w:val="32"/>
        </w:rPr>
        <w:t>年专升本《</w:t>
      </w:r>
      <w:r>
        <w:rPr>
          <w:rFonts w:hint="eastAsia" w:ascii="黑体" w:hAnsi="黑体" w:eastAsia="黑体"/>
          <w:b/>
          <w:sz w:val="32"/>
          <w:szCs w:val="32"/>
          <w:lang w:eastAsia="zh-CN"/>
        </w:rPr>
        <w:t>笔</w:t>
      </w:r>
      <w:r>
        <w:rPr>
          <w:rFonts w:hint="eastAsia" w:ascii="黑体" w:hAnsi="黑体" w:eastAsia="黑体"/>
          <w:b/>
          <w:sz w:val="32"/>
          <w:szCs w:val="32"/>
        </w:rPr>
        <w:t>译》考试大纲</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一、总纲</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大纲适用于：安徽省属普通高校（以及经过批准举办普通高等职业教育的成人高等院校）的应届全日制普通高职（专科）毕业生；安徽省高校毕业的具有普通高职（专科）学历的退役士兵。考试是国家承认的招收专科学生升入本科阶段学习的选拔性考试，旨在考核学生对于本课程是否达到进入本科学习水平的基本要求。考试需在统一规定的时间内，采用闭卷方式进行。</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本大纲旨在规定课程学习和考试的内容和范围，是实施课程考试的重要依据，也是指导学生高效学习的纲领性文件，有助于考试标准的规范化和具体化。</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本大纲的制定旨在贯彻国家和安徽省关于专升本考试的相关要求，依据有关</w:t>
      </w:r>
      <w:bookmarkStart w:id="0" w:name="_GoBack"/>
      <w:bookmarkEnd w:id="0"/>
      <w:r>
        <w:rPr>
          <w:rFonts w:hint="eastAsia" w:ascii="仿宋" w:hAnsi="仿宋" w:eastAsia="仿宋" w:cs="仿宋"/>
          <w:sz w:val="28"/>
          <w:szCs w:val="28"/>
        </w:rPr>
        <w:t>政策文件，根据“宽口径、厚基础、强能力、高素质”的原则，实现培养具有扎实英语语言基础知识和英汉翻译熟练技能的人才目标。翻译能力是综合运用语言文化知识进行语言转换的能力，翻译考试主要考核学生的对英汉两种语言的理解能力和表达能力。考试方式为闭卷</w:t>
      </w:r>
      <w:r>
        <w:rPr>
          <w:rFonts w:hint="eastAsia" w:ascii="仿宋" w:hAnsi="仿宋" w:eastAsia="仿宋" w:cs="仿宋"/>
          <w:color w:val="333333"/>
          <w:sz w:val="28"/>
          <w:szCs w:val="28"/>
          <w:shd w:val="clear" w:color="auto" w:fill="FFFFFF"/>
        </w:rPr>
        <w:t>。</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sz w:val="28"/>
          <w:szCs w:val="28"/>
        </w:rPr>
        <w:t>二、学科考查内容纲要</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textAlignment w:val="auto"/>
        <w:rPr>
          <w:rFonts w:hint="eastAsia" w:ascii="仿宋" w:hAnsi="仿宋" w:eastAsia="仿宋" w:cs="仿宋"/>
          <w:bCs/>
          <w:sz w:val="28"/>
          <w:szCs w:val="28"/>
        </w:rPr>
      </w:pPr>
      <w:r>
        <w:rPr>
          <w:rFonts w:hint="eastAsia" w:ascii="仿宋" w:hAnsi="仿宋" w:eastAsia="仿宋" w:cs="仿宋"/>
          <w:b/>
          <w:bCs/>
          <w:sz w:val="28"/>
          <w:szCs w:val="28"/>
        </w:rPr>
        <w:t>（一）</w:t>
      </w:r>
      <w:r>
        <w:rPr>
          <w:rFonts w:hint="eastAsia" w:ascii="仿宋" w:hAnsi="仿宋" w:eastAsia="仿宋" w:cs="仿宋"/>
          <w:bCs/>
          <w:sz w:val="28"/>
          <w:szCs w:val="28"/>
        </w:rPr>
        <w:t>考核目标与要求</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rPr>
        <w:t>本课程考试参考书目：《英汉翻译教程》（修订版），张培基主编，上海外语教育出版社</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2018年版</w:t>
      </w:r>
    </w:p>
    <w:p>
      <w:pPr>
        <w:pStyle w:val="9"/>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翻译课程是英语专业的主干课程。翻译课程的教学任务是教授基本的翻译理论和翻译方法，培养学生的翻译熟练技能。翻译课程的考试目的是考核学生的语言综合素质，跨文化交际能力和翻译基本功。具体包括：</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能力目标</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能够掌握基本的翻译理论、翻译方法和技巧；</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能够根据语境，理解语言现象及其逻辑关系，将所学的语言文化知识转化为较准确的语言表达能力。</w:t>
      </w:r>
    </w:p>
    <w:p>
      <w:pPr>
        <w:pStyle w:val="7"/>
        <w:keepNext w:val="0"/>
        <w:keepLines w:val="0"/>
        <w:pageBreakBefore w:val="0"/>
        <w:numPr>
          <w:ilvl w:val="0"/>
          <w:numId w:val="1"/>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知识目标</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了解翻译的目的、定义、标准、翻译的基本理论和基础知识；</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了解英汉两种文化的差异，以及两种语言在词汇、语法、句法、篇章等各方面的共性与特性；</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掌握基本的翻译方法，能够对一般性的文字材料进行中英文互译。</w:t>
      </w:r>
    </w:p>
    <w:p>
      <w:pPr>
        <w:pStyle w:val="7"/>
        <w:keepNext w:val="0"/>
        <w:keepLines w:val="0"/>
        <w:pageBreakBefore w:val="0"/>
        <w:numPr>
          <w:ilvl w:val="0"/>
          <w:numId w:val="1"/>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素质目标</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培养学生的道德修养、人文素质和自主学习能力；</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培养学生的思辨能力和实践能力；</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提升学生的人际交流与沟通能力。</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（二）考试范围与要求</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第一部分：单词与词组翻译（英译汉）</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该部分主要从句子层面考核学生对句中的某些词或词组的理解及翻译；</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第二部分：英语句子翻译</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该部分包括两种题型，一是意义完整的独立句子翻译，</w:t>
      </w:r>
      <w:r>
        <w:rPr>
          <w:rFonts w:hint="eastAsia" w:ascii="仿宋" w:hAnsi="仿宋" w:eastAsia="仿宋" w:cs="仿宋"/>
          <w:sz w:val="28"/>
          <w:szCs w:val="28"/>
          <w:lang w:eastAsia="zh-CN"/>
        </w:rPr>
        <w:t>二</w:t>
      </w:r>
      <w:r>
        <w:rPr>
          <w:rFonts w:hint="eastAsia" w:ascii="仿宋" w:hAnsi="仿宋" w:eastAsia="仿宋" w:cs="仿宋"/>
          <w:sz w:val="28"/>
          <w:szCs w:val="28"/>
        </w:rPr>
        <w:t>是文章中划线部分的句子翻译。主要考核学生对句子结构和语义的理解能力，以及根据上下文之间的逻辑关联获取语言信息进行语言转换的能力；</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第三部分：汉语句子翻译</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该部分主要从词汇、结构、时态、语态等方面，考核学生能否运用基本的翻译方法和技巧，将具有一定难度的汉语句子译成语义清楚语法规范的英语。</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第四部分：篇章翻译（英译汉）</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该部分主要从语篇层面考核学生的语篇意识，考核学生是否能够根据语篇的</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FF0000"/>
          <w:sz w:val="28"/>
          <w:szCs w:val="28"/>
        </w:rPr>
      </w:pPr>
      <w:r>
        <w:rPr>
          <w:rFonts w:hint="eastAsia" w:ascii="仿宋" w:hAnsi="仿宋" w:eastAsia="仿宋" w:cs="仿宋"/>
          <w:sz w:val="28"/>
          <w:szCs w:val="28"/>
        </w:rPr>
        <w:t>语境，理解句与句之间的连接与呼应，以及要表达的思想内容，要求译文要语言正确，语义连贯。</w:t>
      </w:r>
    </w:p>
    <w:p>
      <w:pPr>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试卷结构</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试卷总分为</w:t>
      </w:r>
      <w:r>
        <w:rPr>
          <w:rFonts w:hint="eastAsia" w:ascii="仿宋" w:hAnsi="仿宋" w:eastAsia="仿宋" w:cs="仿宋"/>
          <w:sz w:val="28"/>
          <w:szCs w:val="28"/>
        </w:rPr>
        <w:t>150分）</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4373"/>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133" w:type="pct"/>
            <w:tcBorders>
              <w:top w:val="single" w:color="auto" w:sz="4" w:space="0"/>
              <w:left w:val="single" w:color="auto" w:sz="4" w:space="0"/>
              <w:bottom w:val="single" w:color="auto" w:sz="4" w:space="0"/>
              <w:right w:val="single" w:color="auto" w:sz="4" w:space="0"/>
            </w:tcBorders>
            <w:vAlign w:val="center"/>
          </w:tcPr>
          <w:p>
            <w:pPr>
              <w:spacing w:line="360" w:lineRule="auto"/>
              <w:ind w:firstLine="275" w:firstLineChars="98"/>
              <w:jc w:val="center"/>
              <w:rPr>
                <w:rFonts w:hint="eastAsia" w:ascii="仿宋" w:hAnsi="仿宋" w:eastAsia="仿宋" w:cs="仿宋"/>
                <w:b/>
                <w:bCs/>
                <w:kern w:val="2"/>
                <w:sz w:val="28"/>
                <w:szCs w:val="28"/>
              </w:rPr>
            </w:pPr>
            <w:r>
              <w:rPr>
                <w:rFonts w:hint="eastAsia" w:ascii="仿宋" w:hAnsi="仿宋" w:eastAsia="仿宋" w:cs="仿宋"/>
                <w:b/>
                <w:bCs/>
                <w:kern w:val="0"/>
                <w:sz w:val="28"/>
                <w:szCs w:val="28"/>
              </w:rPr>
              <w:t>序号</w:t>
            </w:r>
          </w:p>
        </w:tc>
        <w:tc>
          <w:tcPr>
            <w:tcW w:w="2566"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2"/>
              <w:jc w:val="center"/>
              <w:rPr>
                <w:rFonts w:hint="eastAsia" w:ascii="仿宋" w:hAnsi="仿宋" w:eastAsia="仿宋" w:cs="仿宋"/>
                <w:b/>
                <w:bCs/>
                <w:kern w:val="2"/>
                <w:sz w:val="28"/>
                <w:szCs w:val="28"/>
                <w:lang w:eastAsia="zh-CN"/>
              </w:rPr>
            </w:pPr>
            <w:r>
              <w:rPr>
                <w:rFonts w:hint="eastAsia" w:ascii="仿宋" w:hAnsi="仿宋" w:eastAsia="仿宋" w:cs="仿宋"/>
                <w:b/>
                <w:bCs/>
                <w:kern w:val="0"/>
                <w:sz w:val="28"/>
                <w:szCs w:val="28"/>
                <w:lang w:eastAsia="zh-CN"/>
              </w:rPr>
              <w:t>题型</w:t>
            </w:r>
          </w:p>
        </w:tc>
        <w:tc>
          <w:tcPr>
            <w:tcW w:w="1299" w:type="pct"/>
            <w:tcBorders>
              <w:top w:val="single" w:color="auto" w:sz="4" w:space="0"/>
              <w:left w:val="single" w:color="auto" w:sz="4" w:space="0"/>
              <w:bottom w:val="single" w:color="auto" w:sz="4" w:space="0"/>
              <w:right w:val="single" w:color="auto" w:sz="4" w:space="0"/>
            </w:tcBorders>
            <w:vAlign w:val="center"/>
          </w:tcPr>
          <w:p>
            <w:pPr>
              <w:spacing w:line="360" w:lineRule="auto"/>
              <w:ind w:firstLine="275" w:firstLineChars="98"/>
              <w:jc w:val="center"/>
              <w:rPr>
                <w:rFonts w:hint="eastAsia" w:ascii="仿宋" w:hAnsi="仿宋" w:eastAsia="仿宋" w:cs="仿宋"/>
                <w:b/>
                <w:bCs/>
                <w:kern w:val="2"/>
                <w:sz w:val="28"/>
                <w:szCs w:val="28"/>
              </w:rPr>
            </w:pPr>
            <w:r>
              <w:rPr>
                <w:rFonts w:hint="eastAsia" w:ascii="仿宋" w:hAnsi="仿宋" w:eastAsia="仿宋" w:cs="仿宋"/>
                <w:b/>
                <w:bCs/>
                <w:kern w:val="0"/>
                <w:sz w:val="28"/>
                <w:szCs w:val="28"/>
              </w:rPr>
              <w:t>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113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kern w:val="2"/>
                <w:sz w:val="28"/>
                <w:szCs w:val="28"/>
                <w:lang w:eastAsia="zh-CN"/>
              </w:rPr>
            </w:pPr>
            <w:r>
              <w:rPr>
                <w:rFonts w:hint="eastAsia" w:ascii="仿宋" w:hAnsi="仿宋" w:eastAsia="仿宋" w:cs="仿宋"/>
                <w:kern w:val="0"/>
                <w:sz w:val="28"/>
                <w:szCs w:val="28"/>
                <w:lang w:val="en-US" w:eastAsia="zh-CN"/>
              </w:rPr>
              <w:t>1</w:t>
            </w:r>
          </w:p>
        </w:tc>
        <w:tc>
          <w:tcPr>
            <w:tcW w:w="2566" w:type="pct"/>
            <w:tcBorders>
              <w:top w:val="single" w:color="auto" w:sz="4" w:space="0"/>
              <w:left w:val="single" w:color="auto" w:sz="4" w:space="0"/>
              <w:bottom w:val="single" w:color="auto" w:sz="4" w:space="0"/>
              <w:right w:val="single" w:color="auto" w:sz="4" w:space="0"/>
            </w:tcBorders>
            <w:vAlign w:val="center"/>
          </w:tcPr>
          <w:p>
            <w:pPr>
              <w:spacing w:line="360" w:lineRule="auto"/>
              <w:ind w:firstLine="140" w:firstLineChars="50"/>
              <w:jc w:val="center"/>
              <w:rPr>
                <w:rFonts w:hint="eastAsia" w:ascii="仿宋" w:hAnsi="仿宋" w:eastAsia="仿宋" w:cs="仿宋"/>
                <w:kern w:val="2"/>
                <w:sz w:val="28"/>
                <w:szCs w:val="28"/>
              </w:rPr>
            </w:pPr>
            <w:r>
              <w:rPr>
                <w:rFonts w:hint="eastAsia" w:ascii="仿宋" w:hAnsi="仿宋" w:eastAsia="仿宋" w:cs="仿宋"/>
                <w:color w:val="000000" w:themeColor="text1"/>
                <w:kern w:val="0"/>
                <w:sz w:val="28"/>
                <w:szCs w:val="28"/>
              </w:rPr>
              <w:t>单词词组翻译</w:t>
            </w:r>
          </w:p>
        </w:tc>
        <w:tc>
          <w:tcPr>
            <w:tcW w:w="1299" w:type="pct"/>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150"/>
              <w:jc w:val="center"/>
              <w:rPr>
                <w:rFonts w:hint="eastAsia" w:ascii="仿宋" w:hAnsi="仿宋" w:eastAsia="仿宋" w:cs="仿宋"/>
                <w:kern w:val="2"/>
                <w:sz w:val="28"/>
                <w:szCs w:val="28"/>
              </w:rPr>
            </w:pPr>
            <w:r>
              <w:rPr>
                <w:rFonts w:hint="eastAsia" w:ascii="仿宋" w:hAnsi="仿宋" w:eastAsia="仿宋" w:cs="仿宋"/>
                <w:kern w:val="0"/>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13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kern w:val="2"/>
                <w:sz w:val="28"/>
                <w:szCs w:val="28"/>
                <w:lang w:eastAsia="zh-CN"/>
              </w:rPr>
            </w:pPr>
            <w:r>
              <w:rPr>
                <w:rFonts w:hint="eastAsia" w:ascii="仿宋" w:hAnsi="仿宋" w:eastAsia="仿宋" w:cs="仿宋"/>
                <w:kern w:val="0"/>
                <w:sz w:val="28"/>
                <w:szCs w:val="28"/>
                <w:lang w:val="en-US" w:eastAsia="zh-CN"/>
              </w:rPr>
              <w:t>2</w:t>
            </w:r>
          </w:p>
        </w:tc>
        <w:tc>
          <w:tcPr>
            <w:tcW w:w="2566" w:type="pct"/>
            <w:tcBorders>
              <w:top w:val="single" w:color="auto" w:sz="4" w:space="0"/>
              <w:left w:val="single" w:color="auto" w:sz="4" w:space="0"/>
              <w:bottom w:val="single" w:color="auto" w:sz="4" w:space="0"/>
              <w:right w:val="single" w:color="auto" w:sz="4" w:space="0"/>
            </w:tcBorders>
            <w:vAlign w:val="center"/>
          </w:tcPr>
          <w:p>
            <w:pPr>
              <w:spacing w:line="360" w:lineRule="auto"/>
              <w:ind w:firstLine="140" w:firstLineChars="50"/>
              <w:jc w:val="center"/>
              <w:rPr>
                <w:rFonts w:hint="eastAsia" w:ascii="仿宋" w:hAnsi="仿宋" w:eastAsia="仿宋" w:cs="仿宋"/>
                <w:kern w:val="2"/>
                <w:sz w:val="28"/>
                <w:szCs w:val="28"/>
              </w:rPr>
            </w:pPr>
            <w:r>
              <w:rPr>
                <w:rFonts w:hint="eastAsia" w:ascii="仿宋" w:hAnsi="仿宋" w:eastAsia="仿宋" w:cs="仿宋"/>
                <w:color w:val="000000" w:themeColor="text1"/>
                <w:kern w:val="0"/>
                <w:sz w:val="28"/>
                <w:szCs w:val="28"/>
              </w:rPr>
              <w:t>英语句子翻译</w:t>
            </w:r>
          </w:p>
        </w:tc>
        <w:tc>
          <w:tcPr>
            <w:tcW w:w="1299" w:type="pct"/>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150"/>
              <w:jc w:val="center"/>
              <w:rPr>
                <w:rFonts w:hint="eastAsia" w:ascii="仿宋" w:hAnsi="仿宋" w:eastAsia="仿宋" w:cs="仿宋"/>
                <w:kern w:val="2"/>
                <w:sz w:val="28"/>
                <w:szCs w:val="28"/>
              </w:rPr>
            </w:pPr>
            <w:r>
              <w:rPr>
                <w:rFonts w:hint="eastAsia" w:ascii="仿宋" w:hAnsi="仿宋" w:eastAsia="仿宋" w:cs="仿宋"/>
                <w:kern w:val="0"/>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13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kern w:val="2"/>
                <w:sz w:val="28"/>
                <w:szCs w:val="28"/>
                <w:lang w:eastAsia="zh-CN"/>
              </w:rPr>
            </w:pPr>
            <w:r>
              <w:rPr>
                <w:rFonts w:hint="eastAsia" w:ascii="仿宋" w:hAnsi="仿宋" w:eastAsia="仿宋" w:cs="仿宋"/>
                <w:kern w:val="0"/>
                <w:sz w:val="28"/>
                <w:szCs w:val="28"/>
                <w:lang w:val="en-US" w:eastAsia="zh-CN"/>
              </w:rPr>
              <w:t>3</w:t>
            </w:r>
          </w:p>
        </w:tc>
        <w:tc>
          <w:tcPr>
            <w:tcW w:w="256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kern w:val="2"/>
                <w:sz w:val="28"/>
                <w:szCs w:val="28"/>
              </w:rPr>
            </w:pPr>
            <w:r>
              <w:rPr>
                <w:rFonts w:hint="eastAsia" w:ascii="仿宋" w:hAnsi="仿宋" w:eastAsia="仿宋" w:cs="仿宋"/>
                <w:color w:val="000000" w:themeColor="text1"/>
                <w:kern w:val="0"/>
                <w:sz w:val="28"/>
                <w:szCs w:val="28"/>
              </w:rPr>
              <w:t>文章划线部分翻译</w:t>
            </w:r>
          </w:p>
        </w:tc>
        <w:tc>
          <w:tcPr>
            <w:tcW w:w="1299" w:type="pct"/>
            <w:tcBorders>
              <w:top w:val="single" w:color="auto" w:sz="4" w:space="0"/>
              <w:left w:val="single" w:color="auto" w:sz="4" w:space="0"/>
              <w:bottom w:val="single" w:color="auto" w:sz="4" w:space="0"/>
              <w:right w:val="single" w:color="auto" w:sz="4" w:space="0"/>
            </w:tcBorders>
            <w:vAlign w:val="center"/>
          </w:tcPr>
          <w:p>
            <w:pPr>
              <w:spacing w:line="360" w:lineRule="auto"/>
              <w:ind w:firstLine="560" w:firstLineChars="200"/>
              <w:jc w:val="center"/>
              <w:rPr>
                <w:rFonts w:hint="eastAsia" w:ascii="仿宋" w:hAnsi="仿宋" w:eastAsia="仿宋" w:cs="仿宋"/>
                <w:kern w:val="2"/>
                <w:sz w:val="28"/>
                <w:szCs w:val="28"/>
              </w:rPr>
            </w:pPr>
            <w:r>
              <w:rPr>
                <w:rFonts w:hint="eastAsia" w:ascii="仿宋" w:hAnsi="仿宋" w:eastAsia="仿宋" w:cs="仿宋"/>
                <w:kern w:val="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13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kern w:val="2"/>
                <w:sz w:val="28"/>
                <w:szCs w:val="28"/>
                <w:lang w:eastAsia="zh-CN"/>
              </w:rPr>
            </w:pPr>
            <w:r>
              <w:rPr>
                <w:rFonts w:hint="eastAsia" w:ascii="仿宋" w:hAnsi="仿宋" w:eastAsia="仿宋" w:cs="仿宋"/>
                <w:kern w:val="0"/>
                <w:sz w:val="28"/>
                <w:szCs w:val="28"/>
                <w:lang w:val="en-US" w:eastAsia="zh-CN"/>
              </w:rPr>
              <w:t>4</w:t>
            </w:r>
          </w:p>
        </w:tc>
        <w:tc>
          <w:tcPr>
            <w:tcW w:w="2566" w:type="pct"/>
            <w:tcBorders>
              <w:top w:val="single" w:color="auto" w:sz="4" w:space="0"/>
              <w:left w:val="single" w:color="auto" w:sz="4" w:space="0"/>
              <w:bottom w:val="single" w:color="auto" w:sz="4" w:space="0"/>
              <w:right w:val="single" w:color="auto" w:sz="4" w:space="0"/>
            </w:tcBorders>
            <w:vAlign w:val="center"/>
          </w:tcPr>
          <w:p>
            <w:pPr>
              <w:spacing w:line="360" w:lineRule="auto"/>
              <w:ind w:firstLine="140" w:firstLineChars="50"/>
              <w:jc w:val="center"/>
              <w:rPr>
                <w:rFonts w:hint="eastAsia" w:ascii="仿宋" w:hAnsi="仿宋" w:eastAsia="仿宋" w:cs="仿宋"/>
                <w:kern w:val="2"/>
                <w:sz w:val="28"/>
                <w:szCs w:val="28"/>
              </w:rPr>
            </w:pPr>
            <w:r>
              <w:rPr>
                <w:rFonts w:hint="eastAsia" w:ascii="仿宋" w:hAnsi="仿宋" w:eastAsia="仿宋" w:cs="仿宋"/>
                <w:color w:val="000000" w:themeColor="text1"/>
                <w:kern w:val="0"/>
                <w:sz w:val="28"/>
                <w:szCs w:val="28"/>
              </w:rPr>
              <w:t>汉语句子翻译</w:t>
            </w:r>
          </w:p>
        </w:tc>
        <w:tc>
          <w:tcPr>
            <w:tcW w:w="1299"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hint="eastAsia" w:ascii="仿宋" w:hAnsi="仿宋" w:eastAsia="仿宋" w:cs="仿宋"/>
                <w:kern w:val="2"/>
                <w:sz w:val="28"/>
                <w:szCs w:val="28"/>
              </w:rPr>
            </w:pPr>
            <w:r>
              <w:rPr>
                <w:rFonts w:hint="eastAsia" w:ascii="仿宋" w:hAnsi="仿宋" w:eastAsia="仿宋" w:cs="仿宋"/>
                <w:kern w:val="2"/>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13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kern w:val="2"/>
                <w:sz w:val="28"/>
                <w:szCs w:val="28"/>
                <w:lang w:eastAsia="zh-CN"/>
              </w:rPr>
            </w:pPr>
            <w:r>
              <w:rPr>
                <w:rFonts w:hint="eastAsia" w:ascii="仿宋" w:hAnsi="仿宋" w:eastAsia="仿宋" w:cs="仿宋"/>
                <w:kern w:val="0"/>
                <w:sz w:val="28"/>
                <w:szCs w:val="28"/>
                <w:lang w:val="en-US" w:eastAsia="zh-CN"/>
              </w:rPr>
              <w:t>5</w:t>
            </w:r>
          </w:p>
        </w:tc>
        <w:tc>
          <w:tcPr>
            <w:tcW w:w="2566" w:type="pct"/>
            <w:tcBorders>
              <w:top w:val="single" w:color="auto" w:sz="4" w:space="0"/>
              <w:left w:val="single" w:color="auto" w:sz="4" w:space="0"/>
              <w:bottom w:val="single" w:color="auto" w:sz="4" w:space="0"/>
              <w:right w:val="single" w:color="auto" w:sz="4" w:space="0"/>
            </w:tcBorders>
            <w:vAlign w:val="center"/>
          </w:tcPr>
          <w:p>
            <w:pPr>
              <w:spacing w:line="360" w:lineRule="auto"/>
              <w:ind w:firstLine="280" w:firstLineChars="100"/>
              <w:jc w:val="center"/>
              <w:rPr>
                <w:rFonts w:hint="eastAsia" w:ascii="仿宋" w:hAnsi="仿宋" w:eastAsia="仿宋" w:cs="仿宋"/>
                <w:kern w:val="2"/>
                <w:sz w:val="28"/>
                <w:szCs w:val="28"/>
              </w:rPr>
            </w:pPr>
            <w:r>
              <w:rPr>
                <w:rFonts w:hint="eastAsia" w:ascii="仿宋" w:hAnsi="仿宋" w:eastAsia="仿宋" w:cs="仿宋"/>
                <w:color w:val="000000" w:themeColor="text1"/>
                <w:kern w:val="0"/>
                <w:sz w:val="28"/>
                <w:szCs w:val="28"/>
              </w:rPr>
              <w:t>篇章翻译</w:t>
            </w:r>
          </w:p>
        </w:tc>
        <w:tc>
          <w:tcPr>
            <w:tcW w:w="1299" w:type="pct"/>
            <w:tcBorders>
              <w:top w:val="single" w:color="auto" w:sz="4" w:space="0"/>
              <w:left w:val="single" w:color="auto" w:sz="4" w:space="0"/>
              <w:bottom w:val="single" w:color="auto" w:sz="4" w:space="0"/>
              <w:right w:val="single" w:color="auto" w:sz="4" w:space="0"/>
            </w:tcBorders>
            <w:vAlign w:val="center"/>
          </w:tcPr>
          <w:p>
            <w:pPr>
              <w:spacing w:line="360" w:lineRule="auto"/>
              <w:ind w:firstLine="480"/>
              <w:jc w:val="center"/>
              <w:rPr>
                <w:rFonts w:hint="eastAsia" w:ascii="仿宋" w:hAnsi="仿宋" w:eastAsia="仿宋" w:cs="仿宋"/>
                <w:kern w:val="2"/>
                <w:sz w:val="28"/>
                <w:szCs w:val="28"/>
              </w:rPr>
            </w:pPr>
            <w:r>
              <w:rPr>
                <w:rFonts w:hint="eastAsia" w:ascii="仿宋" w:hAnsi="仿宋" w:eastAsia="仿宋" w:cs="仿宋"/>
                <w:kern w:val="0"/>
                <w:sz w:val="28"/>
                <w:szCs w:val="28"/>
              </w:rPr>
              <w:t>1</w:t>
            </w:r>
          </w:p>
        </w:tc>
      </w:tr>
    </w:tbl>
    <w:p>
      <w:pPr>
        <w:spacing w:line="360" w:lineRule="auto"/>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6242B2"/>
    <w:multiLevelType w:val="singleLevel"/>
    <w:tmpl w:val="FC6242B2"/>
    <w:lvl w:ilvl="0" w:tentative="0">
      <w:start w:val="3"/>
      <w:numFmt w:val="chineseCounting"/>
      <w:suff w:val="nothing"/>
      <w:lvlText w:val="%1、"/>
      <w:lvlJc w:val="left"/>
      <w:rPr>
        <w:rFonts w:hint="eastAsia"/>
      </w:rPr>
    </w:lvl>
  </w:abstractNum>
  <w:abstractNum w:abstractNumId="1">
    <w:nsid w:val="12585D74"/>
    <w:multiLevelType w:val="multilevel"/>
    <w:tmpl w:val="12585D74"/>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B59F9"/>
    <w:rsid w:val="00087446"/>
    <w:rsid w:val="000B7816"/>
    <w:rsid w:val="000C1025"/>
    <w:rsid w:val="000D1CD9"/>
    <w:rsid w:val="000E51CD"/>
    <w:rsid w:val="000F7016"/>
    <w:rsid w:val="001553D0"/>
    <w:rsid w:val="00206F2A"/>
    <w:rsid w:val="00221BEB"/>
    <w:rsid w:val="00265C0F"/>
    <w:rsid w:val="003076CC"/>
    <w:rsid w:val="0035434D"/>
    <w:rsid w:val="003D0E63"/>
    <w:rsid w:val="004B59F9"/>
    <w:rsid w:val="004E4313"/>
    <w:rsid w:val="00505348"/>
    <w:rsid w:val="005433ED"/>
    <w:rsid w:val="00547A07"/>
    <w:rsid w:val="005D2AD4"/>
    <w:rsid w:val="00663D2C"/>
    <w:rsid w:val="006B25E8"/>
    <w:rsid w:val="006B3321"/>
    <w:rsid w:val="006C5FC0"/>
    <w:rsid w:val="006D7ACA"/>
    <w:rsid w:val="00711862"/>
    <w:rsid w:val="007135BE"/>
    <w:rsid w:val="007902F4"/>
    <w:rsid w:val="007A73F1"/>
    <w:rsid w:val="0084233F"/>
    <w:rsid w:val="00886D19"/>
    <w:rsid w:val="008B375E"/>
    <w:rsid w:val="008C254E"/>
    <w:rsid w:val="008F6801"/>
    <w:rsid w:val="00980253"/>
    <w:rsid w:val="009B3F57"/>
    <w:rsid w:val="00A32D0E"/>
    <w:rsid w:val="00A77A74"/>
    <w:rsid w:val="00AA5BC5"/>
    <w:rsid w:val="00AB3470"/>
    <w:rsid w:val="00AD2256"/>
    <w:rsid w:val="00AF0261"/>
    <w:rsid w:val="00AF7960"/>
    <w:rsid w:val="00BC4AA7"/>
    <w:rsid w:val="00BD4365"/>
    <w:rsid w:val="00C01D7C"/>
    <w:rsid w:val="00C30D64"/>
    <w:rsid w:val="00C55B68"/>
    <w:rsid w:val="00C80343"/>
    <w:rsid w:val="00C849B5"/>
    <w:rsid w:val="00CA0DB3"/>
    <w:rsid w:val="00CC53C3"/>
    <w:rsid w:val="00CD04E5"/>
    <w:rsid w:val="00CF0487"/>
    <w:rsid w:val="00D62E45"/>
    <w:rsid w:val="00D67C0E"/>
    <w:rsid w:val="00E83A69"/>
    <w:rsid w:val="00E928AF"/>
    <w:rsid w:val="00F07DB7"/>
    <w:rsid w:val="00F560F2"/>
    <w:rsid w:val="00F56B5C"/>
    <w:rsid w:val="00F73DF6"/>
    <w:rsid w:val="00FF3F5E"/>
    <w:rsid w:val="0AB6525D"/>
    <w:rsid w:val="3709320A"/>
    <w:rsid w:val="3ABF6282"/>
    <w:rsid w:val="45923E98"/>
    <w:rsid w:val="541D4B81"/>
    <w:rsid w:val="FBEE4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8"/>
    <w:qFormat/>
    <w:uiPriority w:val="0"/>
    <w:pPr>
      <w:keepNext/>
      <w:keepLines/>
      <w:spacing w:before="340" w:after="330" w:line="576" w:lineRule="auto"/>
      <w:outlineLvl w:val="0"/>
    </w:pPr>
    <w:rPr>
      <w:rFonts w:asciiTheme="minorHAnsi" w:hAnsiTheme="minorHAnsi" w:eastAsiaTheme="minorEastAsia" w:cstheme="minorBidi"/>
      <w:b/>
      <w:bCs/>
      <w:kern w:val="44"/>
      <w:sz w:val="44"/>
      <w:szCs w:val="44"/>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3">
    <w:name w:val="Normal (Web)"/>
    <w:basedOn w:val="1"/>
    <w:unhideWhenUsed/>
    <w:qFormat/>
    <w:uiPriority w:val="0"/>
    <w:pPr>
      <w:spacing w:before="100" w:beforeAutospacing="1" w:after="100" w:afterAutospacing="1"/>
      <w:jc w:val="left"/>
    </w:pPr>
    <w:rPr>
      <w:rFonts w:asciiTheme="minorHAnsi" w:hAnsiTheme="minorHAnsi" w:eastAsiaTheme="minorEastAsia"/>
      <w:kern w:val="0"/>
      <w:sz w:val="24"/>
      <w:szCs w:val="24"/>
    </w:rPr>
  </w:style>
  <w:style w:type="table" w:styleId="5">
    <w:name w:val="Table Grid"/>
    <w:basedOn w:val="4"/>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List Paragraph"/>
    <w:basedOn w:val="1"/>
    <w:qFormat/>
    <w:uiPriority w:val="34"/>
    <w:pPr>
      <w:ind w:firstLine="420" w:firstLineChars="200"/>
    </w:pPr>
    <w:rPr>
      <w:rFonts w:asciiTheme="minorHAnsi" w:hAnsiTheme="minorHAnsi" w:eastAsiaTheme="minorEastAsia" w:cstheme="minorBidi"/>
    </w:rPr>
  </w:style>
  <w:style w:type="character" w:customStyle="1" w:styleId="8">
    <w:name w:val="标题 1 Char"/>
    <w:basedOn w:val="6"/>
    <w:link w:val="2"/>
    <w:qFormat/>
    <w:uiPriority w:val="0"/>
    <w:rPr>
      <w:b/>
      <w:bCs/>
      <w:kern w:val="44"/>
      <w:sz w:val="44"/>
      <w:szCs w:val="44"/>
    </w:rPr>
  </w:style>
  <w:style w:type="paragraph" w:customStyle="1" w:styleId="9">
    <w:name w:val="paragraph"/>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202</Words>
  <Characters>1155</Characters>
  <Lines>9</Lines>
  <Paragraphs>2</Paragraphs>
  <TotalTime>2</TotalTime>
  <ScaleCrop>false</ScaleCrop>
  <LinksUpToDate>false</LinksUpToDate>
  <CharactersWithSpaces>1355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2020-04-15T17:28:00Z</dcterms:created>
  <dc:creator>administrator</dc:creator>
  <cp:lastModifiedBy>李哲源</cp:lastModifiedBy>
  <dcterms:modified xsi:type="dcterms:W3CDTF">2021-03-23T00:59:20Z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9A2A4ECCF75B43EAAC4E67BE35B2A408</vt:lpwstr>
  </property>
</Properties>
</file>