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20</w:t>
      </w:r>
      <w:r>
        <w:rPr>
          <w:rFonts w:ascii="黑体" w:eastAsia="黑体"/>
          <w:b/>
          <w:color w:val="000000"/>
          <w:sz w:val="32"/>
          <w:szCs w:val="32"/>
        </w:rPr>
        <w:t>21</w:t>
      </w:r>
      <w:r>
        <w:rPr>
          <w:rFonts w:hint="eastAsia" w:ascii="黑体" w:eastAsia="黑体"/>
          <w:b/>
          <w:color w:val="000000"/>
          <w:sz w:val="32"/>
          <w:szCs w:val="32"/>
        </w:rPr>
        <w:t>年专升本《会计学原理》考试大纲</w:t>
      </w:r>
    </w:p>
    <w:p>
      <w:p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考试大纲是为财务管理专业专升本入学考试而制定的，旨在规定《会计学原理》课程考试的内容和范围，作为财务管理专业课考试命题的重要依据，力求紧密结合财会专业课程的教学内容，强调学生对《会计学原理》课程的基本知识、基本理论、基本方法的掌握，为学生升入本科后的专业学习打下良好的基础。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大纲的制定旨在贯彻国家和安徽省的相关要求，依据有关政策文件，根据“宽口径、厚基础、强能力、高素质”的原则，培养高质量实用技能型和复合创新型财务管理专门人才。考查内容主要围绕会计基本原理、账务处理原则以及会计报表</w:t>
      </w:r>
      <w:r>
        <w:rPr>
          <w:rFonts w:hint="eastAsia" w:ascii="仿宋" w:eastAsia="仿宋"/>
          <w:sz w:val="28"/>
          <w:szCs w:val="28"/>
        </w:rPr>
        <w:t>结构</w:t>
      </w:r>
      <w:r>
        <w:rPr>
          <w:rFonts w:hint="eastAsia" w:ascii="仿宋" w:eastAsia="仿宋" w:cs="Times New Roman"/>
          <w:sz w:val="28"/>
          <w:szCs w:val="28"/>
        </w:rPr>
        <w:t>三个部分展开，使学生能够掌握会计基本原理，理解记账方法，学会财务会计报表的基本编制方式。考试以会计学相关原理知识为基础，强调课程的综合性和实践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ascii="仿宋" w:eastAsia="仿宋" w:cs="Times New Roman"/>
          <w:sz w:val="28"/>
          <w:szCs w:val="28"/>
        </w:rPr>
        <w:t>（</w:t>
      </w:r>
      <w:r>
        <w:rPr>
          <w:rFonts w:hint="eastAsia" w:ascii="仿宋" w:eastAsia="仿宋" w:cs="Times New Roman"/>
          <w:sz w:val="28"/>
          <w:szCs w:val="28"/>
        </w:rPr>
        <w:t>一</w:t>
      </w:r>
      <w:r>
        <w:rPr>
          <w:rFonts w:ascii="仿宋" w:eastAsia="仿宋" w:cs="Times New Roman"/>
          <w:sz w:val="28"/>
          <w:szCs w:val="28"/>
        </w:rPr>
        <w:t>）</w:t>
      </w:r>
      <w:r>
        <w:rPr>
          <w:rFonts w:hint="eastAsia" w:ascii="仿宋" w:eastAsia="仿宋" w:cs="Times New Roman"/>
          <w:sz w:val="28"/>
          <w:szCs w:val="28"/>
        </w:rPr>
        <w:t>考核目标与要求</w:t>
      </w:r>
    </w:p>
    <w:p>
      <w:pPr>
        <w:pStyle w:val="9"/>
        <w:widowControl/>
        <w:spacing w:beforeAutospacing="0" w:afterAutospacing="0"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本课程考试参考书目：《会计学原理》（第6版）；主编:葛军；高等教育出版社，20</w:t>
      </w:r>
      <w:r>
        <w:rPr>
          <w:rFonts w:ascii="仿宋" w:eastAsia="仿宋"/>
          <w:sz w:val="28"/>
          <w:szCs w:val="28"/>
        </w:rPr>
        <w:t>20</w:t>
      </w:r>
      <w:r>
        <w:rPr>
          <w:rFonts w:hint="eastAsia" w:ascii="仿宋" w:eastAsia="仿宋"/>
          <w:sz w:val="28"/>
          <w:szCs w:val="28"/>
        </w:rPr>
        <w:t>年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《会计学原理》是一门基础性课程，具有很强的理论性和应用性是财务管理专业的核心基础课程，在财务管理专业课程体系中有着重要的地位和作用。本科目考察学生对会计基本理论、基本方法和账务处理程序的掌握情况，要求学生能够深刻理解会计的基本原理，掌握会计核算的基本流程和会计报表基本结构，为学生</w:t>
      </w:r>
      <w:r>
        <w:rPr>
          <w:rFonts w:hint="eastAsia" w:ascii="仿宋" w:eastAsia="仿宋" w:cs="Times New Roman"/>
          <w:sz w:val="28"/>
          <w:szCs w:val="28"/>
        </w:rPr>
        <w:t>升入本科后的专业学习奠定良好的基础。</w:t>
      </w:r>
      <w:r>
        <w:rPr>
          <w:rFonts w:hint="eastAsia" w:ascii="仿宋" w:eastAsia="仿宋"/>
          <w:sz w:val="28"/>
          <w:szCs w:val="28"/>
        </w:rPr>
        <w:t>具体包括：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1</w:t>
      </w:r>
      <w:r>
        <w:rPr>
          <w:rFonts w:ascii="仿宋" w:eastAsia="仿宋"/>
          <w:sz w:val="28"/>
          <w:szCs w:val="28"/>
        </w:rPr>
        <w:t>.能力目标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能够熟练运用复式记账法进行基本会计处理；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能够阅读、编制基本的会计报表；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能够运用会计的基本原理与相关概念解决基本的会计问题。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2</w:t>
      </w:r>
      <w:r>
        <w:rPr>
          <w:rFonts w:ascii="仿宋" w:eastAsia="仿宋"/>
          <w:sz w:val="28"/>
          <w:szCs w:val="28"/>
        </w:rPr>
        <w:t>.知识目标</w:t>
      </w:r>
    </w:p>
    <w:p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熟悉会计基础理论、掌握会计的基本理论、基本方法，基本技能；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明确会计的概念、基本职能、作用、对象；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理解并掌握会计要素、会计科目和账户、复式记账的相关理论、借贷记账法的内容及其应用；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掌握会计凭证、账簿的使用原则和财产清查方法；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掌握会计报表的结构和编制方法。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（</w:t>
      </w:r>
      <w:r>
        <w:rPr>
          <w:rFonts w:hint="eastAsia" w:ascii="仿宋" w:eastAsia="仿宋"/>
          <w:sz w:val="28"/>
          <w:szCs w:val="28"/>
        </w:rPr>
        <w:t>二</w:t>
      </w:r>
      <w:r>
        <w:rPr>
          <w:rFonts w:ascii="仿宋" w:eastAsia="仿宋"/>
          <w:sz w:val="28"/>
          <w:szCs w:val="28"/>
        </w:rPr>
        <w:t>）</w:t>
      </w:r>
      <w:r>
        <w:rPr>
          <w:rFonts w:hint="eastAsia" w:ascii="仿宋" w:eastAsia="仿宋"/>
          <w:sz w:val="28"/>
          <w:szCs w:val="28"/>
        </w:rPr>
        <w:t>考试范围与要求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考试范围主要围绕</w:t>
      </w:r>
      <w:r>
        <w:rPr>
          <w:rFonts w:hint="eastAsia" w:ascii="仿宋" w:eastAsia="仿宋"/>
          <w:sz w:val="28"/>
          <w:szCs w:val="28"/>
        </w:rPr>
        <w:t>会计学原理的基本理论与方法展开。具体考查内容如下：</w:t>
      </w:r>
      <w:r>
        <w:rPr>
          <w:rFonts w:ascii="仿宋" w:eastAsia="仿宋"/>
          <w:sz w:val="28"/>
          <w:szCs w:val="28"/>
        </w:rPr>
        <w:t xml:space="preserve"> 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第一章  总论 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会计的意义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会计的产生与发展（一般）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会计的概念与特点（次重点）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会计的职能与作用（重点）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会计信息服务对象（次重点）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会计的对象与任务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会计的对象（重点）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会计的目的（一般）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会计的任务（一般）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会计的方法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会计方法的组成（一般）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会计核算方法（重点）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会计核算的基本前提与会计信息质量要求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会计核算的前提条件（重点）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会计信息质量要求（重点）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 会计计量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会计计量要求（一般）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会计计量属性（重点）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会计计量属性选择的标准（次重点）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  会计职业与管理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会计职业（一般）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会计从业资格与任职资格（一</w:t>
      </w:r>
      <w:r>
        <w:rPr>
          <w:rFonts w:hint="eastAsia" w:ascii="仿宋" w:eastAsia="仿宋" w:cs="仿宋"/>
          <w:color w:val="000000"/>
          <w:sz w:val="28"/>
          <w:szCs w:val="28"/>
          <w:lang w:eastAsia="zh-CN"/>
        </w:rPr>
        <w:t>般</w:t>
      </w:r>
      <w:r>
        <w:rPr>
          <w:rFonts w:hint="eastAsia" w:ascii="仿宋" w:eastAsia="仿宋" w:cs="仿宋"/>
          <w:color w:val="000000"/>
          <w:sz w:val="28"/>
          <w:szCs w:val="28"/>
        </w:rPr>
        <w:t>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3.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会计人员职业道德（次重点）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第二章  账户与复式记账 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会计要素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资产（重点）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负债（重点）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3.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所有者权益（重点）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收入（重点）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5. </w:t>
      </w:r>
      <w:r>
        <w:rPr>
          <w:rFonts w:hint="eastAsia" w:ascii="仿宋" w:eastAsia="仿宋" w:cs="仿宋"/>
          <w:color w:val="000000"/>
          <w:sz w:val="28"/>
          <w:szCs w:val="28"/>
        </w:rPr>
        <w:t>费用（重点）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6. </w:t>
      </w:r>
      <w:r>
        <w:rPr>
          <w:rFonts w:hint="eastAsia" w:ascii="仿宋" w:eastAsia="仿宋" w:cs="仿宋"/>
          <w:color w:val="000000"/>
          <w:sz w:val="28"/>
          <w:szCs w:val="28"/>
        </w:rPr>
        <w:t>利润（重点）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会计恒等式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会计恒等式的含义（重点）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经济业务与会计恒等式的关系（重点）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账户的设置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1.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会计科目设置的意义和原则（次重点）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会计科目的类别和级次（重点）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账户及其基本结构（重点）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复式记账原理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记账方法（次重点）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复式记账法的原理（重点）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借贷记账法（重点）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 总分类账户与明细分类账户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设置总分类账户与明细分类账户的必要性（一般）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总分类账户与明细分类账户的平行登记（重点）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总分类账户与明细分类账户的核对（重点）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第三章  复式记账的运用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复式记账运用概述（一般）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供应过程的核算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供应过程核算的主要内容（次重点）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增值税概述（次重点）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供应过程核算的账户设置（重点）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4.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供应过程主要经济业务的核算（重点）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生产过程的核算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生产过程核算的主要内容（次重点）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生产过程核算的账户设置（重点）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生产过程主要经济业务的核算（重点）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销售过程的核算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销售过程核算的主要内容（次重点）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销售过程核算的账户设置（重点）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销售过程主要经济业务的核算（重点）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 财务成果的核算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财务成果核算的主要内容（重点）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2.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财务成果核算的账户设置（重点）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财务成果主要经济业务的核算（重点）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  其他经济业务的核算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其他经济业务核算的主要内容（次重点）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其他经济业务核算的账户设置（次重点）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其他主要经济业务的核算（次重点）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第四章  会计凭证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会计凭证的作用和种类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会计凭证的作用（一般）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会计凭证的种类（重点）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会计凭证的填制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原始凭证的填制（次重点）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记账凭证的填制（重点）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会计凭证的审核、传递和保管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会计凭证的审核（重点）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会计凭证的传递（一般）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会计凭证的保管（一般）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第五章  账簿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账簿的意义和种类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账簿的意义（一般）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账簿的种类（重点）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账簿的设置和登记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序时账簿的设置和登记（重点）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总分类账簿的设置和登记（次重点）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明细分类账簿的设置和登记（重点）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对账和结账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对账（重点）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结账（次重点）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记账规则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账簿启用与登记规则（次重点）</w:t>
      </w:r>
    </w:p>
    <w:p>
      <w:pPr>
        <w:ind w:firstLine="560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登记账簿发生错误时更正的方法（重点）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账簿的保管（次重点）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第六章  财产清查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财产清查的作用和种类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财产清查的作用（一般）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财产清查的种类（次重点）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财产清查的范围和方法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1.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财产清查的范围（次重点）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财产清查的方法（重点）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财产清查结果的处理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财产清查结果处理的步骤（一般）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财产清查结果的账务处理（</w:t>
      </w:r>
      <w:r>
        <w:rPr>
          <w:rFonts w:ascii="仿宋" w:eastAsia="仿宋" w:cs="仿宋"/>
          <w:color w:val="000000"/>
          <w:sz w:val="28"/>
          <w:szCs w:val="28"/>
        </w:rPr>
        <w:t>次重点</w:t>
      </w:r>
      <w:r>
        <w:rPr>
          <w:rFonts w:hint="eastAsia" w:ascii="仿宋" w:eastAsia="仿宋" w:cs="仿宋"/>
          <w:color w:val="000000"/>
          <w:sz w:val="28"/>
          <w:szCs w:val="28"/>
        </w:rPr>
        <w:t>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第七章  财务会计报告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FF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财务会计报告概述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会计报表的构成和分类（次重点）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会计报表的编制程序（一般）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会计报表列报的基本要求（次重点）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资产负债表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资产负债表的内容和结构（重点）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资产负债表的编制方法（次重点）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利润表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利润表的内容和结构（重点）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利润表的编制（次重点）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现金流量表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现金流量表的作用（一般）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现金流量的概念及其分类（次重点）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现金流量表的结构和编制方法（一般）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现金流量表补充资料的披露格式及内容（一般）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 所有者权益变动表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所有者权益变动表的作用（一般）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所有者权益变动表的内容和格式（一般）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  会计报表附注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会计报表附注的作用（一般）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会计报表附注的具体内容（次重点）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第八章  账务处理程序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账务处理程序概述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账务处理程序的意义（一般）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合理组织账务处理程序的要求（一般）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账务处理程序的种类（一般）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 记账凭证账务处理程序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记账凭证账务处理程序的特点（一般）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记账凭证账务处理程序的基本内容（次重点）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记账凭证账务处理程序举例（一般）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 汇总记账凭证账务处理程序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汇总记账凭证账务处理程序的特点（一般）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汇总记账凭证账务处理程序的基本内容（次重点）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汇总记账凭证账务处理程序举例（一般）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 科目汇总表账务处理程序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科目汇总表账务处理程序的特点（</w:t>
      </w:r>
      <w:r>
        <w:rPr>
          <w:rFonts w:ascii="仿宋" w:eastAsia="仿宋" w:cs="仿宋"/>
          <w:color w:val="000000"/>
          <w:sz w:val="28"/>
          <w:szCs w:val="28"/>
        </w:rPr>
        <w:t>重点</w:t>
      </w:r>
      <w:r>
        <w:rPr>
          <w:rFonts w:hint="eastAsia" w:ascii="仿宋" w:eastAsia="仿宋" w:cs="仿宋"/>
          <w:color w:val="000000"/>
          <w:sz w:val="28"/>
          <w:szCs w:val="28"/>
        </w:rPr>
        <w:t>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科目汇总表账务处理程序的基本内容（次重点）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科目汇总表账务处理程序举例（一般）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 多栏式日记账账务处理程序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多栏式日记账账务处理程序的特点（一般）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多栏式日记账账务处理程序的基本内容（次重点）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多栏式日记账账务处理程序举例（不考查）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  日记总账账务处理程序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日记总账账务处理程序的特点（一般）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日记总账账务处理程序的基本内容（次重点）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日记总账账务处理程序举例（不考查）</w:t>
      </w:r>
    </w:p>
    <w:p>
      <w:pPr>
        <w:ind w:firstLine="560" w:firstLineChars="200"/>
        <w:jc w:val="left"/>
        <w:rPr>
          <w:rFonts w:hint="eastAsia" w:ascii="仿宋" w:eastAsia="仿宋" w:cs="仿宋"/>
          <w:color w:val="000000"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试卷</w:t>
      </w:r>
      <w:r>
        <w:rPr>
          <w:rFonts w:ascii="仿宋" w:eastAsia="仿宋" w:cs="Times New Roman"/>
          <w:b/>
          <w:sz w:val="28"/>
          <w:szCs w:val="28"/>
        </w:rPr>
        <w:t>结构</w:t>
      </w:r>
    </w:p>
    <w:p>
      <w:pPr>
        <w:ind w:firstLine="560" w:firstLineChars="200"/>
        <w:jc w:val="left"/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  <w:t>(</w:t>
      </w:r>
      <w:r>
        <w:rPr>
          <w:rFonts w:hint="eastAsia" w:ascii="仿宋" w:eastAsia="仿宋" w:cs="仿宋"/>
          <w:color w:val="000000"/>
          <w:sz w:val="28"/>
          <w:szCs w:val="28"/>
        </w:rPr>
        <w:t>试卷总分为150</w:t>
      </w:r>
      <w:r>
        <w:rPr>
          <w:rFonts w:hint="eastAsia" w:ascii="仿宋" w:eastAsia="仿宋" w:cs="仿宋"/>
          <w:color w:val="000000"/>
          <w:sz w:val="28"/>
          <w:szCs w:val="28"/>
          <w:lang w:eastAsia="zh-CN"/>
        </w:rPr>
        <w:t>分</w:t>
      </w:r>
      <w:r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  <w:t>)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3281"/>
        <w:gridCol w:w="3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000000"/>
                <w:sz w:val="28"/>
                <w:szCs w:val="28"/>
              </w:rPr>
              <w:t>名词解释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简答题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925" w:type="pct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业务题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（根据业务编制会计分录）</w:t>
            </w:r>
          </w:p>
        </w:tc>
        <w:tc>
          <w:tcPr>
            <w:tcW w:w="1926" w:type="pct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  <w:bookmarkStart w:id="0" w:name="_GoBack"/>
            <w:bookmarkEnd w:id="0"/>
          </w:p>
        </w:tc>
      </w:tr>
    </w:tbl>
    <w:p>
      <w:pPr>
        <w:ind w:firstLine="560" w:firstLineChars="200"/>
        <w:jc w:val="left"/>
        <w:rPr>
          <w:rFonts w:hint="eastAsia" w:ascii="仿宋" w:eastAsia="仿宋" w:cs="仿宋"/>
          <w:color w:val="00000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925120"/>
    <w:multiLevelType w:val="singleLevel"/>
    <w:tmpl w:val="C4925120"/>
    <w:lvl w:ilvl="0" w:tentative="0">
      <w:start w:val="3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14078A"/>
    <w:rsid w:val="0014078A"/>
    <w:rsid w:val="003647F4"/>
    <w:rsid w:val="004C234D"/>
    <w:rsid w:val="006B14C7"/>
    <w:rsid w:val="009946FF"/>
    <w:rsid w:val="1B4D6E8A"/>
    <w:rsid w:val="6D3701AF"/>
    <w:rsid w:val="75EB437E"/>
    <w:rsid w:val="7E23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10">
    <w:name w:val="annotation subject"/>
    <w:basedOn w:val="5"/>
    <w:next w:val="5"/>
    <w:qFormat/>
    <w:uiPriority w:val="0"/>
    <w:rPr>
      <w:b/>
      <w:bCs/>
    </w:r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character" w:customStyle="1" w:styleId="14">
    <w:name w:val="biaoti31"/>
    <w:basedOn w:val="12"/>
    <w:qFormat/>
    <w:uiPriority w:val="0"/>
    <w:rPr>
      <w:b/>
      <w:color w:val="003D6C"/>
      <w:sz w:val="30"/>
      <w:szCs w:val="30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537</Words>
  <Characters>3067</Characters>
  <Lines>25</Lines>
  <Paragraphs>7</Paragraphs>
  <TotalTime>1</TotalTime>
  <ScaleCrop>false</ScaleCrop>
  <LinksUpToDate>false</LinksUpToDate>
  <CharactersWithSpaces>3597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2020-04-15T13:07:00Z</dcterms:created>
  <dc:creator>Song</dc:creator>
  <cp:lastModifiedBy>李哲源</cp:lastModifiedBy>
  <cp:lastPrinted>2018-03-14T00:34:00Z</cp:lastPrinted>
  <dcterms:modified xsi:type="dcterms:W3CDTF">2021-03-23T01:09:47Z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C25A75C63228417CA81AFB5ED09136A3</vt:lpwstr>
  </property>
</Properties>
</file>