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32"/>
          <w:szCs w:val="32"/>
        </w:rPr>
      </w:pPr>
      <w:r>
        <w:rPr>
          <w:rFonts w:hint="eastAsia" w:ascii="黑体" w:hAnsi="黑体" w:eastAsia="黑体" w:cs="黑体"/>
          <w:b/>
          <w:sz w:val="32"/>
          <w:szCs w:val="32"/>
        </w:rPr>
        <w:t>202</w:t>
      </w:r>
      <w:r>
        <w:rPr>
          <w:rFonts w:hint="eastAsia" w:ascii="黑体" w:hAnsi="黑体" w:eastAsia="黑体" w:cs="黑体"/>
          <w:b/>
          <w:sz w:val="32"/>
          <w:szCs w:val="32"/>
          <w:lang w:val="en-US" w:eastAsia="zh-CN"/>
        </w:rPr>
        <w:t>1</w:t>
      </w:r>
      <w:r>
        <w:rPr>
          <w:rFonts w:hint="eastAsia" w:ascii="黑体" w:hAnsi="黑体" w:eastAsia="黑体" w:cs="黑体"/>
          <w:b/>
          <w:sz w:val="32"/>
          <w:szCs w:val="32"/>
        </w:rPr>
        <w:t>年专升本《中级财务会计》考试大纲</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一、总纲</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本大纲旨在规定课程学习、考试的内容和范围，是实施课程考试的重要依据，也是指导学生高效学习的纲领性文件，有助于考试标准的规范化和具体化。</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大纲的制定旨在贯彻国家和安徽省的相关要求，依据有关政策文件，根据“宽口径、厚基础、强能力、高素质”的原则，实现培养会计专业中高级应用性人才的目标。考查内容以制造业企业日常生产经营活动过程为主线，围绕资产、负债、所有者权益、收入、费用和利润等会计要素变化情况的确认、计量和记录等内容展开，使学生具备坚实的会计核算的理论基础，能够掌握会计要素确认、计量、记录、报告的基本原则和方法，以及制造业企业主要交易、事项的会计实务处理与操作；理解会计处理的基本原理，能够做出合理的选择和判断；清楚会计政策对财务报告的影响，了解会计信息的经济后果。考试以会计相关理论知识为基础，强调课程的综合性和实践应用性，通过对各章节知识要点的扎实掌握和融会贯通实现创新性。</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二、学科考查内容纲要</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（一）考核目标与要求</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本课程考试参考书目：《中级财务会计》刘永泽、陈立军主编 东北财经大学出版社，2018年第6版</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中级财务会计》课程是会计学、财务管理和审计学专业的主干课程，其理论性和操作性都很强。它是在国际公认的现行财务会计理论结构框架的基础上，以我国经济环境和会计规范及实务为前提，依据我国企业会计准则，并借鉴国际会计准则及美国等西方发达国家的会计准则，采用国际通用的会计方法，通过对企业（尤其是制造业企业）日常经营活动所引起的资产、负债、所有者权益、收入、费用和利润等会计要素的变化情况进行确认、计量和记录，最终以财务报告的形式将其公开披露并传递给各种会计信息使用者，以满足他们了解企业财务状况、经营成果及财务状况变动情况等信息的要求。具体包括：</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1.能力目标</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能够简述我国企业会计准则及变迁过程及其重要意义；</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能够结合自身学习、生活、工作等实际对财务会计的理论前沿进行进一步研究；</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能够运用财务会计的相关知识对当前企业生产经营活动中发生的日常经济业务进行会计处理；</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能够掌握企业财务会计报告的编制方法。</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2.知识目标</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掌握财务会计的基本理论、基本知识和基本技能；</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熟悉中国企业会计准则的相关内容；</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掌握各种会计业务的账务处理方法；</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熟悉会计岗位的职责。</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3.素质目标</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培养学生具备较好的职业判断能力，良好的职业素养与技能；</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培养学生确立良好的职业道德观念；</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培养学生具备各个会计岗位的专业胜任能力；</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培养学生分析问题解决问题的能力，及在实践中不断创新的能力。</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（二）考试范围与要求</w:t>
      </w:r>
    </w:p>
    <w:p>
      <w:pPr>
        <w:ind w:firstLine="700" w:firstLineChars="250"/>
        <w:rPr>
          <w:rFonts w:ascii="仿宋" w:hAnsi="仿宋" w:eastAsia="仿宋"/>
          <w:bCs/>
          <w:sz w:val="28"/>
          <w:szCs w:val="28"/>
        </w:rPr>
      </w:pPr>
      <w:r>
        <w:rPr>
          <w:rFonts w:hint="eastAsia" w:ascii="仿宋" w:hAnsi="仿宋" w:eastAsia="仿宋"/>
          <w:bCs/>
          <w:sz w:val="28"/>
          <w:szCs w:val="28"/>
        </w:rPr>
        <w:t>考试范围主要围绕财务会计的基本理论及应用原则，会计要素的确认和计量方法，企业实务的会计核算方法及财务报表编制方法等主要内容展开。具体考查内容如下：</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第一章 总论</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财务会计及特点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一、财务会计的特征（重点）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二、财务会计的目标（重点）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三、财务会计信息的使用者（一般）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四、财务会计信息的质量要求（重点）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五、社会环境对会计的影响（一般）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会计的基本假设和会计确认、计量的基础</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一、会计的基本假设概述（重点）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二、会计确认、计量的基础</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权责发生制基础（重点）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会计确认与计量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一、会计确认概述（重点）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二、会计计量（重点）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财务报告要素（重点）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第二章   货币资金</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现金（重点）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银行存款（重点）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其他货币资金（一般）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第三章   存货</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存货及其分类（一般）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存货的初始计量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一、外购的存货（重点）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二、自制存货（一般）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三、委托加工的存货（一般）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四、投资者在投入的存货（一般）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发出存货的计量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一、存货成本流转假设（一般）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二、发出存货的计价方法（重点）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三、发出存货的会计处理（重点）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计划成本法</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一、计划成本法的基本核算程序（一般）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二、存货的取得及成本差异的形成（重点）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三、存货的发出及成本差异的分摊（重点）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第五节   存货的期末计量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一、存货与成本可变现净值孰低法的含义（一般）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二、存货可变现净值的确定（一般）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三、材料存货的期末计量（重点）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四、存货跌价准备的会计处理方法（重点）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第六节   存货清查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一、存货清查的意义与方法（一般）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二、存货盘盈与盘亏的会计处理（重点）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第四章   金融资产</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金融资产及其分类</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一、金融资产的内容（一般）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二、金融资产的分类（一般）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交易性金融资产（重点）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债权投资（一般）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应收款项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一、应收款项概述（重点）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二、应收款项的会计处理</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（一）应收账款（重点）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（二）应收票据（重点）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（三）预付账款（一般）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（四）其他应收款（一般）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（五）应收债权出售和融资（一般）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第五节  其他金融工具投资（略）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第六节   金融资产的重分类（略）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第七节  金融资产减值（略）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第五章   长期股权投资</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长期股权投资的初始计量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一、长期股权投资及其初始计量原则</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（一）长期股权投资的内容（重点）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（二）长期股权投资初始计量的原则（重点）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二、企业合并形成的长期股权投资（略）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三、非企业合并方式取得的长期股权投资（略）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长期股权投资的后续计量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一、长期股权投资成本法（重点）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二、长期股权投资的权益法（一般）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长期股权投资的转换（略）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长期股权投资处置</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sz w:val="28"/>
          <w:szCs w:val="28"/>
        </w:rPr>
        <w:t>一、长期股权投资</w:t>
      </w:r>
      <w:bookmarkStart w:id="2" w:name="_GoBack"/>
      <w:r>
        <w:rPr>
          <w:rFonts w:hint="eastAsia" w:ascii="仿宋" w:hAnsi="仿宋" w:eastAsia="仿宋" w:cs="仿宋"/>
          <w:bCs/>
          <w:color w:val="auto"/>
          <w:sz w:val="28"/>
          <w:szCs w:val="28"/>
        </w:rPr>
        <w:t>处置损益的构成（一般）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二、处置长期股权投资的会计处理（一般）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第六章   固定资产</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第一节   固定资产概述</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一、固定资产的含义及特征（一般）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二、固定资产的分类（一般）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第二节   固定资产的初始计量</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一、固定资产的确认（一般）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二、固定资产的初始计量</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（一）外购固定资产（重点）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（二）自行建造固定资产（重点）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（三）投资转入固定资产（一般）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（四）租入固定资产（一般）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（五）接受捐赠的固定资产（一般）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（六）盘盈固定资产（重点）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第三节   固定资产的后续计量</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一、固定资产折旧（重点）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二、固定资产后续支出（一般）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第四节   固定资产处置（重点）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第七章   无形资产</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第一节   无形资产概述</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一、无形资产的含义及特征（一般）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二、无形资产的分类（重点）</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三、无形资产的确认（一般）</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第二节   无形资产的初始计量</w:t>
      </w:r>
    </w:p>
    <w:p>
      <w:pPr>
        <w:spacing w:line="360" w:lineRule="auto"/>
        <w:ind w:firstLine="560" w:firstLineChars="200"/>
        <w:jc w:val="left"/>
        <w:rPr>
          <w:rFonts w:ascii="仿宋" w:hAnsi="仿宋" w:eastAsia="仿宋" w:cs="仿宋"/>
          <w:bCs/>
          <w:color w:val="auto"/>
          <w:sz w:val="28"/>
          <w:szCs w:val="28"/>
        </w:rPr>
      </w:pPr>
      <w:r>
        <w:rPr>
          <w:rFonts w:hint="eastAsia" w:ascii="仿宋" w:hAnsi="仿宋" w:eastAsia="仿宋" w:cs="仿宋"/>
          <w:bCs/>
          <w:color w:val="auto"/>
          <w:sz w:val="28"/>
          <w:szCs w:val="28"/>
        </w:rPr>
        <w:t>一、外购的无形资产（重点）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color w:val="auto"/>
          <w:sz w:val="28"/>
          <w:szCs w:val="28"/>
        </w:rPr>
        <w:t>二、投资者投入的无形资产（重点）</w:t>
      </w:r>
      <w:bookmarkEnd w:id="2"/>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三、政府补助取得的无形资产（一般）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 xml:space="preserve">第三节   </w:t>
      </w:r>
      <w:bookmarkStart w:id="0" w:name="_Hlk36920592"/>
      <w:r>
        <w:rPr>
          <w:rFonts w:hint="eastAsia" w:ascii="仿宋" w:hAnsi="仿宋" w:eastAsia="仿宋" w:cs="仿宋"/>
          <w:bCs/>
          <w:sz w:val="28"/>
          <w:szCs w:val="28"/>
        </w:rPr>
        <w:t>内部研究开发费用</w:t>
      </w:r>
      <w:bookmarkEnd w:id="0"/>
      <w:r>
        <w:rPr>
          <w:rFonts w:hint="eastAsia" w:ascii="仿宋" w:hAnsi="仿宋" w:eastAsia="仿宋" w:cs="仿宋"/>
          <w:bCs/>
          <w:sz w:val="28"/>
          <w:szCs w:val="28"/>
        </w:rPr>
        <w:t>的确认与计量（略）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无形资产的后续计量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一、无形资产使用寿命的确定与复核（一般）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二、无形资产摊销方法（一般）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三、无形资产摊销的账务处理（重点）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第五节   无形资产的处置</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一、无形资产的出售（重点）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二、无形资产的出租（重点）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三、无形资产的报废（一般）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第八章   投资性房地产（略）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第九章   资产减值</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资产减值概述</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一、资产减值的含义（一般）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二、资产减值的确认（一般）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资产可回收金额的计量（略）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资产减值损失的确认与计量</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一、资产减值损失确认与计量的一般原则（一般）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二、资产减值损失的账务处理（重点）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资产组的认定及减值处理（略）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第五节   商誉减值测试及会计处理（略）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第十章  负债</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负债概述（重点）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流动负债</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一、短期借款（重点）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二、应付票据（重点）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三、应付账款（重点）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四、预收账款（一般）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五、应付职工薪酬（重点）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六、应交税费（重点）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七、应付利息（一般）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八、应付股利（一般）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九、其他应付款（一般）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非流动负债</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一、长期借款（重点）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二、应付债券（一般）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三、长期应付款（略）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四、递延收益（略）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借款费用（略）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第十一章   所有者权益</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所有者权益概述</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一、企业组织形式（一般）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二、所有者权益的含义及构成（重点）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实收资本与其他权益工具</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一、实收资本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（一）实收资本的性质（一般）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（二）关于注册资本的主要法律规定（一般）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（三）实收资本的会计处理（重点）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二、其他权益工具（略）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资本公积与其他综合收益</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一、资本公积的内容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（一）资本溢价（或股票溢价）（重点）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（二）其他资本公积（一般）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二、其他综合收益（一般）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留存收益</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一、留存收益的性质及构成（重点）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二、留存收益的会计处理（重点）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三、股利分配（一般）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四、股票分割（略）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第十二章   费用（略）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第十三章   收入和利润</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收入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一、收入及其分类</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（一）收入的概念和特点（重点）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（二）收入的分类（重点）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二、收入确认与计量的基本方法（一般）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三、合同成本（一般）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四、销售业务的一般会计处理（重点）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五、销售折扣、折让与退回的会计处理</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（一）销售折扣（重点）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（二）销售折让（重点）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（三）销售退回（一般）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利润</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一、利润及其构成（重点）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二、利润的结转与分配（重点）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第十四章   财务报告</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第一节   财务报告概述（重点）</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第二节   资产负债表（一般）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第三节   利润表（一般）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第四节   现金流量表（略）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第五节   所有者权益变动表（略）</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第六节   财务报表附注（一般）</w:t>
      </w:r>
    </w:p>
    <w:p>
      <w:pPr>
        <w:spacing w:line="360" w:lineRule="auto"/>
        <w:ind w:firstLine="560" w:firstLineChars="200"/>
        <w:jc w:val="left"/>
        <w:rPr>
          <w:rFonts w:ascii="仿宋" w:hAnsi="仿宋" w:eastAsia="仿宋" w:cs="仿宋"/>
          <w:bCs/>
          <w:sz w:val="28"/>
          <w:szCs w:val="28"/>
        </w:rPr>
      </w:pPr>
      <w:r>
        <w:rPr>
          <w:rFonts w:hint="eastAsia" w:ascii="仿宋" w:hAnsi="仿宋" w:eastAsia="仿宋" w:cs="仿宋"/>
          <w:bCs/>
          <w:sz w:val="28"/>
          <w:szCs w:val="28"/>
        </w:rPr>
        <w:t xml:space="preserve">第七节   </w:t>
      </w:r>
      <w:bookmarkStart w:id="1" w:name="_Hlk36922089"/>
      <w:r>
        <w:rPr>
          <w:rFonts w:hint="eastAsia" w:ascii="仿宋" w:hAnsi="仿宋" w:eastAsia="仿宋" w:cs="仿宋"/>
          <w:bCs/>
          <w:sz w:val="28"/>
          <w:szCs w:val="28"/>
        </w:rPr>
        <w:t>中期财务报告</w:t>
      </w:r>
      <w:bookmarkEnd w:id="1"/>
      <w:r>
        <w:rPr>
          <w:rFonts w:hint="eastAsia" w:ascii="仿宋" w:hAnsi="仿宋" w:eastAsia="仿宋" w:cs="仿宋"/>
          <w:bCs/>
          <w:sz w:val="28"/>
          <w:szCs w:val="28"/>
        </w:rPr>
        <w:t>（略）</w:t>
      </w: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numPr>
          <w:ilvl w:val="0"/>
          <w:numId w:val="1"/>
        </w:numPr>
        <w:spacing w:line="360" w:lineRule="auto"/>
        <w:ind w:firstLine="562" w:firstLineChars="200"/>
        <w:rPr>
          <w:rFonts w:ascii="仿宋" w:hAnsi="仿宋" w:eastAsia="仿宋"/>
          <w:b/>
          <w:bCs/>
          <w:sz w:val="28"/>
          <w:szCs w:val="28"/>
        </w:rPr>
      </w:pPr>
      <w:r>
        <w:rPr>
          <w:rFonts w:hint="eastAsia" w:ascii="仿宋" w:hAnsi="仿宋" w:eastAsia="仿宋"/>
          <w:b/>
          <w:bCs/>
          <w:sz w:val="28"/>
          <w:szCs w:val="28"/>
        </w:rPr>
        <w:t>试题结构</w:t>
      </w:r>
    </w:p>
    <w:p>
      <w:pPr>
        <w:spacing w:line="360" w:lineRule="auto"/>
        <w:rPr>
          <w:rFonts w:ascii="仿宋" w:hAnsi="仿宋" w:eastAsia="仿宋" w:cs="仿宋"/>
          <w:b/>
          <w:bCs/>
          <w:sz w:val="28"/>
          <w:szCs w:val="28"/>
        </w:rPr>
      </w:pPr>
      <w:r>
        <w:rPr>
          <w:rFonts w:hint="eastAsia" w:ascii="仿宋" w:hAnsi="仿宋" w:eastAsia="仿宋" w:cs="仿宋"/>
          <w:sz w:val="28"/>
          <w:szCs w:val="28"/>
        </w:rPr>
        <w:t>（试卷总分为150分）</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3281"/>
        <w:gridCol w:w="3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序号</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题型</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1</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单项选择题</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2</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判断题</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3</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简答题</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4</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计算分析题</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pct"/>
          </w:tcPr>
          <w:p>
            <w:pPr>
              <w:spacing w:line="360" w:lineRule="auto"/>
              <w:jc w:val="center"/>
              <w:rPr>
                <w:rFonts w:ascii="仿宋" w:hAnsi="仿宋" w:eastAsia="仿宋" w:cs="仿宋"/>
                <w:sz w:val="28"/>
                <w:szCs w:val="28"/>
              </w:rPr>
            </w:pPr>
            <w:r>
              <w:rPr>
                <w:rFonts w:hint="eastAsia" w:ascii="仿宋" w:hAnsi="仿宋" w:eastAsia="仿宋" w:cs="仿宋"/>
                <w:sz w:val="28"/>
                <w:szCs w:val="28"/>
              </w:rPr>
              <w:t>5</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业务题</w:t>
            </w:r>
          </w:p>
        </w:tc>
        <w:tc>
          <w:tcPr>
            <w:tcW w:w="1925" w:type="pct"/>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20</w:t>
            </w:r>
          </w:p>
        </w:tc>
      </w:tr>
    </w:tbl>
    <w:p>
      <w:pPr>
        <w:spacing w:line="360" w:lineRule="auto"/>
        <w:rPr>
          <w:rFonts w:ascii="宋体" w:hAnsi="宋体"/>
          <w:bCs/>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1684125"/>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BB87D8"/>
    <w:multiLevelType w:val="singleLevel"/>
    <w:tmpl w:val="1CBB87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89"/>
    <w:rsid w:val="000E1E72"/>
    <w:rsid w:val="001805BB"/>
    <w:rsid w:val="00184101"/>
    <w:rsid w:val="002A2A6E"/>
    <w:rsid w:val="003D070A"/>
    <w:rsid w:val="003D32BB"/>
    <w:rsid w:val="00571030"/>
    <w:rsid w:val="00582437"/>
    <w:rsid w:val="005D0921"/>
    <w:rsid w:val="006720CB"/>
    <w:rsid w:val="00675334"/>
    <w:rsid w:val="00696974"/>
    <w:rsid w:val="006B52E7"/>
    <w:rsid w:val="006D5D75"/>
    <w:rsid w:val="00721ECD"/>
    <w:rsid w:val="00730E5F"/>
    <w:rsid w:val="007722CA"/>
    <w:rsid w:val="007C2232"/>
    <w:rsid w:val="007D5392"/>
    <w:rsid w:val="008030C3"/>
    <w:rsid w:val="00805014"/>
    <w:rsid w:val="00862838"/>
    <w:rsid w:val="008F37CA"/>
    <w:rsid w:val="009369FA"/>
    <w:rsid w:val="00994952"/>
    <w:rsid w:val="009B7650"/>
    <w:rsid w:val="009C6D75"/>
    <w:rsid w:val="00A44E6A"/>
    <w:rsid w:val="00AC60E1"/>
    <w:rsid w:val="00B17F89"/>
    <w:rsid w:val="00B201D8"/>
    <w:rsid w:val="00B2385D"/>
    <w:rsid w:val="00B416E2"/>
    <w:rsid w:val="00C23FD7"/>
    <w:rsid w:val="00CB4E67"/>
    <w:rsid w:val="00CD7E11"/>
    <w:rsid w:val="00D11FBF"/>
    <w:rsid w:val="00D640BC"/>
    <w:rsid w:val="00DF5C5E"/>
    <w:rsid w:val="00E17121"/>
    <w:rsid w:val="00EB613C"/>
    <w:rsid w:val="00EE63E1"/>
    <w:rsid w:val="00F620F1"/>
    <w:rsid w:val="00FA00B9"/>
    <w:rsid w:val="00FA71C8"/>
    <w:rsid w:val="01515F01"/>
    <w:rsid w:val="099C3E75"/>
    <w:rsid w:val="16CE2C52"/>
    <w:rsid w:val="1C9D3768"/>
    <w:rsid w:val="2247635E"/>
    <w:rsid w:val="3AEC20C3"/>
    <w:rsid w:val="57066674"/>
    <w:rsid w:val="5990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100" w:beforeAutospacing="1" w:after="100" w:afterAutospacing="1"/>
      <w:jc w:val="left"/>
    </w:pPr>
    <w:rPr>
      <w:rFonts w:ascii="Calibri" w:hAnsi="Calibri"/>
      <w:kern w:val="0"/>
      <w:sz w:val="24"/>
    </w:r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608</Words>
  <Characters>3470</Characters>
  <Lines>28</Lines>
  <Paragraphs>8</Paragraphs>
  <TotalTime>85</TotalTime>
  <ScaleCrop>false</ScaleCrop>
  <LinksUpToDate>false</LinksUpToDate>
  <CharactersWithSpaces>4070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2020-04-16T00:54:00Z</dcterms:created>
  <dc:creator>张 钰</dc:creator>
  <cp:lastModifiedBy>李哲源</cp:lastModifiedBy>
  <dcterms:modified xsi:type="dcterms:W3CDTF">2021-03-23T01:26:03Z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2A344EC211F64DFEAA333718554710F7</vt:lpwstr>
  </property>
</Properties>
</file>